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8361" w14:textId="7304C809" w:rsidR="0071753F" w:rsidRDefault="00000000">
      <w:pPr>
        <w:pStyle w:val="Mezititulek"/>
      </w:pPr>
      <w:bookmarkStart w:id="0" w:name="_Toc248743044"/>
      <w:bookmarkStart w:id="1" w:name="_Toc248743679"/>
      <w:bookmarkStart w:id="2" w:name="_Toc252890805"/>
      <w:r>
        <w:t xml:space="preserve">Příloha č. 4 výzev </w:t>
      </w:r>
      <w:r>
        <w:rPr>
          <w:rStyle w:val="docdata"/>
          <w:color w:val="000000"/>
        </w:rPr>
        <w:t xml:space="preserve">OPST č. </w:t>
      </w:r>
      <w:r w:rsidR="00835D9A">
        <w:rPr>
          <w:rStyle w:val="docdata"/>
          <w:color w:val="000000"/>
        </w:rPr>
        <w:t>65</w:t>
      </w:r>
      <w:r>
        <w:rPr>
          <w:rStyle w:val="docdata"/>
          <w:color w:val="000000"/>
        </w:rPr>
        <w:t xml:space="preserve"> / </w:t>
      </w:r>
      <w:r w:rsidR="00835D9A">
        <w:rPr>
          <w:rStyle w:val="docdata"/>
          <w:color w:val="000000"/>
        </w:rPr>
        <w:t>66</w:t>
      </w:r>
      <w:r>
        <w:rPr>
          <w:rStyle w:val="docdata"/>
          <w:color w:val="000000"/>
        </w:rPr>
        <w:t xml:space="preserve"> / 6</w:t>
      </w:r>
      <w:r w:rsidR="00835D9A">
        <w:rPr>
          <w:rStyle w:val="docdata"/>
          <w:color w:val="000000"/>
        </w:rPr>
        <w:t>7</w:t>
      </w:r>
      <w:r>
        <w:rPr>
          <w:rStyle w:val="docdata"/>
          <w:color w:val="000000"/>
        </w:rPr>
        <w:t xml:space="preserve"> / 2024</w:t>
      </w:r>
    </w:p>
    <w:p w14:paraId="106AFE80" w14:textId="77777777" w:rsidR="0071753F" w:rsidRDefault="00000000">
      <w:pPr>
        <w:spacing w:before="240"/>
        <w:jc w:val="center"/>
        <w:rPr>
          <w:rFonts w:eastAsia="Calibri" w:cs="Segoe UI"/>
          <w:caps/>
          <w:color w:val="3E1F65"/>
          <w:sz w:val="32"/>
          <w:szCs w:val="32"/>
          <w:lang w:eastAsia="en-US"/>
        </w:rPr>
      </w:pPr>
      <w:r>
        <w:rPr>
          <w:rFonts w:eastAsia="Calibri" w:cs="Segoe UI"/>
          <w:caps/>
          <w:color w:val="3E1F65"/>
          <w:sz w:val="32"/>
          <w:szCs w:val="32"/>
          <w:lang w:eastAsia="en-US"/>
        </w:rPr>
        <w:t>prohlášení žadatele k souladu realizace projektu s podmínkami DNSH</w:t>
      </w:r>
      <w:bookmarkEnd w:id="0"/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71753F" w14:paraId="0CB639F5" w14:textId="77777777">
        <w:trPr>
          <w:trHeight w:val="460"/>
        </w:trPr>
        <w:tc>
          <w:tcPr>
            <w:tcW w:w="2405" w:type="dxa"/>
            <w:vAlign w:val="center"/>
          </w:tcPr>
          <w:p w14:paraId="73B23B4E" w14:textId="77777777" w:rsidR="0071753F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Obchodní jméno / Jméno žadatele</w:t>
            </w:r>
          </w:p>
        </w:tc>
        <w:tc>
          <w:tcPr>
            <w:tcW w:w="6655" w:type="dxa"/>
            <w:vAlign w:val="center"/>
          </w:tcPr>
          <w:p w14:paraId="179A1221" w14:textId="77777777" w:rsidR="0071753F" w:rsidRDefault="0071753F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71753F" w14:paraId="6BA1FD4F" w14:textId="77777777">
        <w:trPr>
          <w:trHeight w:val="460"/>
        </w:trPr>
        <w:tc>
          <w:tcPr>
            <w:tcW w:w="2405" w:type="dxa"/>
            <w:vAlign w:val="center"/>
          </w:tcPr>
          <w:p w14:paraId="45DA27CC" w14:textId="77777777" w:rsidR="0071753F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Sídlo / Adresa žadatele</w:t>
            </w:r>
          </w:p>
        </w:tc>
        <w:tc>
          <w:tcPr>
            <w:tcW w:w="6655" w:type="dxa"/>
            <w:vAlign w:val="center"/>
          </w:tcPr>
          <w:p w14:paraId="5D359500" w14:textId="77777777" w:rsidR="0071753F" w:rsidRDefault="0071753F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71753F" w14:paraId="3C5D505D" w14:textId="77777777">
        <w:trPr>
          <w:trHeight w:val="460"/>
        </w:trPr>
        <w:tc>
          <w:tcPr>
            <w:tcW w:w="2405" w:type="dxa"/>
            <w:vAlign w:val="center"/>
          </w:tcPr>
          <w:p w14:paraId="407FB783" w14:textId="77777777" w:rsidR="0071753F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IČ / Datum narození</w:t>
            </w:r>
          </w:p>
        </w:tc>
        <w:tc>
          <w:tcPr>
            <w:tcW w:w="6655" w:type="dxa"/>
            <w:vAlign w:val="center"/>
          </w:tcPr>
          <w:p w14:paraId="7EAFE125" w14:textId="77777777" w:rsidR="0071753F" w:rsidRDefault="0071753F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71753F" w14:paraId="3100A77E" w14:textId="77777777">
        <w:trPr>
          <w:trHeight w:val="460"/>
        </w:trPr>
        <w:tc>
          <w:tcPr>
            <w:tcW w:w="2405" w:type="dxa"/>
            <w:vAlign w:val="center"/>
          </w:tcPr>
          <w:p w14:paraId="62E0C671" w14:textId="77777777" w:rsidR="0071753F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Align w:val="center"/>
          </w:tcPr>
          <w:p w14:paraId="6429C1E7" w14:textId="77777777" w:rsidR="0071753F" w:rsidRDefault="0071753F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012647D2" w14:textId="77777777" w:rsidR="0071753F" w:rsidRDefault="00000000">
      <w:pPr>
        <w:rPr>
          <w:rFonts w:cs="Segoe UI"/>
        </w:rPr>
      </w:pPr>
      <w:r>
        <w:rPr>
          <w:rFonts w:cs="Segoe UI"/>
        </w:rPr>
        <w:t xml:space="preserve"> </w:t>
      </w:r>
    </w:p>
    <w:p w14:paraId="349DFBDC" w14:textId="77777777" w:rsidR="0071753F" w:rsidRDefault="00000000">
      <w:pPr>
        <w:rPr>
          <w:rFonts w:eastAsiaTheme="minorEastAsia"/>
        </w:rPr>
      </w:pPr>
      <w:r>
        <w:rPr>
          <w:rFonts w:cs="Segoe UI"/>
        </w:rPr>
        <w:t xml:space="preserve">Žadatel prohlašuje, že je obeznámen a bere na vědomí podmínky vycházející z principu významného nepoškozování enviromentálních cílů („Do no significant harm“, DNSH), vycházejícího z článku </w:t>
      </w:r>
      <w:r>
        <w:rPr>
          <w:rFonts w:eastAsiaTheme="minorEastAsia"/>
        </w:rPr>
        <w:t>č. 17 nařízení Evropského parlamentu a Rady (EU) 2020/852 ze dne 18. června 2020 o zřízení rámce pro usnadnění udržitelných investic a o změně nařízení (EU) 2019/2088.</w:t>
      </w:r>
      <w:r>
        <w:rPr>
          <w:rStyle w:val="Znakapoznpodarou"/>
          <w:rFonts w:eastAsiaTheme="minorEastAsia"/>
        </w:rPr>
        <w:footnoteReference w:id="1"/>
      </w:r>
      <w:r>
        <w:rPr>
          <w:rFonts w:eastAsiaTheme="minorEastAsia"/>
        </w:rPr>
        <w:t xml:space="preserve"> </w:t>
      </w:r>
    </w:p>
    <w:p w14:paraId="2BD40615" w14:textId="77777777" w:rsidR="0071753F" w:rsidRDefault="00000000">
      <w:pPr>
        <w:rPr>
          <w:rFonts w:eastAsiaTheme="minorEastAsia"/>
        </w:rPr>
      </w:pPr>
      <w:r>
        <w:rPr>
          <w:rFonts w:eastAsiaTheme="minorEastAsia"/>
        </w:rPr>
        <w:t>Žadatel dále prohlašuje, že nezařadí mezi způsobilé výdaje:</w:t>
      </w:r>
    </w:p>
    <w:p w14:paraId="7FFA2CD4" w14:textId="77777777" w:rsidR="0071753F" w:rsidRDefault="00000000">
      <w:pPr>
        <w:pStyle w:val="Odstavecseseznamem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>investice do výroby, zpracování, přepravy, distribuce, skladování nebo spalování fosilních paliv včetně investic do materiálního využití fosilních paliv;</w:t>
      </w:r>
    </w:p>
    <w:p w14:paraId="3B96B75E" w14:textId="77777777" w:rsidR="0071753F" w:rsidRDefault="00000000">
      <w:pPr>
        <w:pStyle w:val="Odstavecseseznamem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>náklady na nové spotřebiče, které nesplňují nejvyšší dostupnou energetickou třídu dle příslušné legislativy pro daný typ spotřebiče;</w:t>
      </w:r>
    </w:p>
    <w:p w14:paraId="20055410" w14:textId="77777777" w:rsidR="0071753F" w:rsidRDefault="00000000">
      <w:pPr>
        <w:pStyle w:val="Odstavecseseznamem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>náklady na výměnu zdroje energie bez toho, že budovat bude po realizaci projektu plnit minimálně parametry energetické náročnosti definované národní legislativou (§ 6 odst. 2 vyhlášky č.264/2020 Sb., o energetické náročnosti budov);</w:t>
      </w:r>
    </w:p>
    <w:p w14:paraId="0776A529" w14:textId="77777777" w:rsidR="0071753F" w:rsidRDefault="00000000">
      <w:pPr>
        <w:pStyle w:val="Odstavecseseznamem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>náklady na zařízení využívajících vodu, které nesplňují následující podmínky:</w:t>
      </w:r>
    </w:p>
    <w:p w14:paraId="6DAAC3F9" w14:textId="77777777" w:rsidR="0071753F" w:rsidRDefault="00000000">
      <w:pPr>
        <w:pStyle w:val="Odstavecseseznamem"/>
        <w:numPr>
          <w:ilvl w:val="1"/>
          <w:numId w:val="47"/>
        </w:numPr>
        <w:rPr>
          <w:rFonts w:eastAsiaTheme="minorEastAsia"/>
        </w:rPr>
      </w:pPr>
      <w:r>
        <w:rPr>
          <w:rFonts w:eastAsiaTheme="minorEastAsia"/>
        </w:rPr>
        <w:t>sprchy mají maximální průtok vody 8 l/min;</w:t>
      </w:r>
    </w:p>
    <w:p w14:paraId="4B2D1C7F" w14:textId="77777777" w:rsidR="0071753F" w:rsidRDefault="00000000">
      <w:pPr>
        <w:pStyle w:val="Odstavecseseznamem"/>
        <w:numPr>
          <w:ilvl w:val="1"/>
          <w:numId w:val="47"/>
        </w:numPr>
        <w:rPr>
          <w:rFonts w:eastAsiaTheme="minorEastAsia"/>
        </w:rPr>
      </w:pPr>
      <w:r>
        <w:rPr>
          <w:rFonts w:eastAsiaTheme="minorEastAsia"/>
        </w:rPr>
        <w:t>WC, zahrnující soupravy, mísy a splachovací nádrže, mají úplný objem splachovací vody maximálně 6 l. a maximální průměrný objem splachovací vody 3,5l;</w:t>
      </w:r>
    </w:p>
    <w:p w14:paraId="1CAB037D" w14:textId="77777777" w:rsidR="0071753F" w:rsidRDefault="00000000">
      <w:pPr>
        <w:pStyle w:val="Odstavecseseznamem"/>
        <w:numPr>
          <w:ilvl w:val="1"/>
          <w:numId w:val="47"/>
        </w:numPr>
        <w:rPr>
          <w:rFonts w:eastAsiaTheme="minorEastAsia"/>
        </w:rPr>
      </w:pPr>
      <w:r>
        <w:rPr>
          <w:rFonts w:eastAsiaTheme="minorEastAsia"/>
        </w:rPr>
        <w:t>pisoáry spotřebují maximálně 2 l/mísu/hodinu. Splachovací pisoáry mají maximální úplný objem splachovací vody 1 l;</w:t>
      </w:r>
    </w:p>
    <w:p w14:paraId="67B19398" w14:textId="77777777" w:rsidR="0071753F" w:rsidRDefault="00000000">
      <w:pPr>
        <w:pStyle w:val="Odstavecseseznamem"/>
        <w:numPr>
          <w:ilvl w:val="1"/>
          <w:numId w:val="47"/>
        </w:numPr>
        <w:rPr>
          <w:rFonts w:eastAsiaTheme="minorEastAsia"/>
        </w:rPr>
      </w:pPr>
      <w:r>
        <w:rPr>
          <w:rFonts w:eastAsiaTheme="minorEastAsia"/>
        </w:rPr>
        <w:t>umyvadlové baterie a kuchyňské baterie mají maximální průtok 6 l/min.</w:t>
      </w:r>
    </w:p>
    <w:p w14:paraId="22782F79" w14:textId="77777777" w:rsidR="0071753F" w:rsidRDefault="00000000">
      <w:pPr>
        <w:pStyle w:val="Odstavecseseznamem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>náklady na zařízení bateriové akumulace pro obnovitelné zdroje energie, které jsou na bázi olova, NiCd a NiMH;</w:t>
      </w:r>
    </w:p>
    <w:p w14:paraId="77C1F518" w14:textId="77777777" w:rsidR="0071753F" w:rsidRDefault="00000000">
      <w:pPr>
        <w:pStyle w:val="Odstavecseseznamem"/>
        <w:keepNext/>
        <w:numPr>
          <w:ilvl w:val="0"/>
          <w:numId w:val="47"/>
        </w:numPr>
        <w:ind w:left="714" w:hanging="357"/>
        <w:rPr>
          <w:rFonts w:eastAsiaTheme="minorEastAsia"/>
        </w:rPr>
      </w:pPr>
      <w:r>
        <w:rPr>
          <w:rFonts w:eastAsiaTheme="minorEastAsia"/>
        </w:rPr>
        <w:lastRenderedPageBreak/>
        <w:t>náklady na pořízení kotlů na biomasu, které nesplňují následující podmínky:</w:t>
      </w:r>
    </w:p>
    <w:p w14:paraId="66E48623" w14:textId="77777777" w:rsidR="0071753F" w:rsidRDefault="00000000">
      <w:pPr>
        <w:pStyle w:val="Odstavecseseznamem"/>
        <w:numPr>
          <w:ilvl w:val="1"/>
          <w:numId w:val="47"/>
        </w:numPr>
        <w:rPr>
          <w:rFonts w:eastAsiaTheme="minorEastAsia"/>
        </w:rPr>
      </w:pPr>
      <w:r>
        <w:rPr>
          <w:rFonts w:eastAsiaTheme="minorEastAsia"/>
        </w:rPr>
        <w:t>jsou v souladu s kritérii udržitelnosti a úspor emisí skleníkových plynů stanovenými v článku 29 směrnice (EU) 2018/2001 o podpoře využívání energie z obnovitelných zdrojů („směrnice o obnovitelných zdrojích energie“, „RED II“). Tyto požadavky se budou vztahovat na všechna zařízení bez ohledu na prahové hodnoty uvedené ve směrnici RED II</w:t>
      </w:r>
      <w:r>
        <w:rPr>
          <w:rStyle w:val="Znakapoznpodarou"/>
          <w:rFonts w:eastAsiaTheme="minorEastAsia"/>
        </w:rPr>
        <w:footnoteReference w:id="2"/>
      </w:r>
      <w:r>
        <w:rPr>
          <w:rFonts w:eastAsiaTheme="minorEastAsia"/>
        </w:rPr>
        <w:t>;</w:t>
      </w:r>
    </w:p>
    <w:p w14:paraId="67FAE69F" w14:textId="77777777" w:rsidR="0071753F" w:rsidRDefault="00000000">
      <w:pPr>
        <w:pStyle w:val="Odstavecseseznamem"/>
        <w:numPr>
          <w:ilvl w:val="1"/>
          <w:numId w:val="47"/>
        </w:numPr>
        <w:rPr>
          <w:rFonts w:eastAsiaTheme="minorEastAsia"/>
        </w:rPr>
      </w:pPr>
      <w:r>
        <w:rPr>
          <w:rFonts w:eastAsiaTheme="minorEastAsia"/>
        </w:rPr>
        <w:t>jsou v souladu s posouzením trajektorií udržitelného využívání bioenergie a dodávek biomasy v Česku a jeho dopadů na využití půdy, změny ve využití půdy, lesní propady uhlíku a biologickou rozmanitost, jakož i vlivu na kvalitu ovzduší;</w:t>
      </w:r>
    </w:p>
    <w:p w14:paraId="1F6E4FE9" w14:textId="77777777" w:rsidR="0071753F" w:rsidRDefault="00000000">
      <w:pPr>
        <w:pStyle w:val="Odstavecseseznamem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>náklady na výsadbu zeleně, které nesplňují následující podmínku:</w:t>
      </w:r>
    </w:p>
    <w:p w14:paraId="65FC5191" w14:textId="77777777" w:rsidR="0071753F" w:rsidRDefault="00000000">
      <w:pPr>
        <w:pStyle w:val="Odstavecseseznamem"/>
        <w:numPr>
          <w:ilvl w:val="1"/>
          <w:numId w:val="47"/>
        </w:numPr>
        <w:rPr>
          <w:rFonts w:eastAsiaTheme="minorEastAsia"/>
        </w:rPr>
      </w:pPr>
      <w:r>
        <w:rPr>
          <w:rFonts w:eastAsiaTheme="minorEastAsia"/>
        </w:rPr>
        <w:t>při výsadbě zeleně se použijí pouze stanovištně vhodné dřeviny, které zajistí odolnost vůči klimatu a zároveň nebudou mít negativní dopad z pohledu biologické rozmanitosti.</w:t>
      </w:r>
    </w:p>
    <w:p w14:paraId="1BD22329" w14:textId="77777777" w:rsidR="0071753F" w:rsidRDefault="0071753F">
      <w:pPr>
        <w:rPr>
          <w:rFonts w:cs="Segoe UI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71753F" w14:paraId="2B1B0E39" w14:textId="77777777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B9C8E" w14:textId="77777777" w:rsidR="0071753F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1EA6C" w14:textId="77777777" w:rsidR="0071753F" w:rsidRDefault="0071753F">
            <w:pPr>
              <w:spacing w:after="0" w:line="240" w:lineRule="auto"/>
              <w:rPr>
                <w:rFonts w:cs="Segoe UI"/>
              </w:rPr>
            </w:pPr>
          </w:p>
        </w:tc>
      </w:tr>
      <w:tr w:rsidR="0071753F" w14:paraId="5EF7A533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47FD6424" w14:textId="77777777" w:rsidR="0071753F" w:rsidRDefault="0071753F">
            <w:pPr>
              <w:spacing w:after="0" w:line="240" w:lineRule="auto"/>
              <w:rPr>
                <w:rFonts w:cs="Segoe UI"/>
              </w:rPr>
            </w:pPr>
          </w:p>
        </w:tc>
      </w:tr>
      <w:tr w:rsidR="0071753F" w14:paraId="2E0C50AA" w14:textId="77777777">
        <w:trPr>
          <w:trHeight w:val="143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9737C" w14:textId="77777777" w:rsidR="0071753F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53B4" w14:textId="77777777" w:rsidR="0071753F" w:rsidRDefault="0071753F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C3823AA" w14:textId="77777777" w:rsidR="0071753F" w:rsidRDefault="0071753F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1396" w14:textId="77777777" w:rsidR="0071753F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20A551BD" w14:textId="77777777" w:rsidR="0071753F" w:rsidRDefault="00000000">
            <w:pPr>
              <w:spacing w:after="0" w:line="240" w:lineRule="auto"/>
              <w:jc w:val="left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D7709" w14:textId="77777777" w:rsidR="0071753F" w:rsidRDefault="00000000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14:paraId="297F4CAC" w14:textId="77777777" w:rsidR="0071753F" w:rsidRDefault="0071753F">
      <w:pPr>
        <w:rPr>
          <w:rFonts w:cs="Segoe UI"/>
        </w:rPr>
      </w:pPr>
    </w:p>
    <w:sectPr w:rsidR="0071753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567" w:footer="46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DF6AC" w14:textId="77777777" w:rsidR="0030160A" w:rsidRDefault="0030160A">
      <w:r>
        <w:separator/>
      </w:r>
    </w:p>
  </w:endnote>
  <w:endnote w:type="continuationSeparator" w:id="0">
    <w:p w14:paraId="3703904F" w14:textId="77777777" w:rsidR="0030160A" w:rsidRDefault="0030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6A866" w14:textId="77777777" w:rsidR="0071753F" w:rsidRDefault="00000000">
    <w:pPr>
      <w:pStyle w:val="Zpat"/>
      <w:rPr>
        <w:szCs w:val="16"/>
      </w:rPr>
    </w:pPr>
    <w:r>
      <w:rPr>
        <w:noProof/>
        <w:szCs w:val="16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265A413" wp14:editId="20544CBD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4A6D7" w14:textId="77777777" w:rsidR="0071753F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251657728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1071"/>
                        <w:sz w:val="16"/>
                      </w:rPr>
                      <w:fldChar w:fldCharType="begin"/>
                    </w:r>
                    <w:r>
                      <w:rPr>
                        <w:rStyle w:val="1071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071"/>
                        <w:sz w:val="16"/>
                      </w:rPr>
                      <w:fldChar w:fldCharType="separate"/>
                    </w:r>
                    <w:r>
                      <w:rPr>
                        <w:rStyle w:val="1071"/>
                        <w:sz w:val="16"/>
                      </w:rPr>
                      <w:t xml:space="preserve">1</w:t>
                    </w:r>
                    <w:r>
                      <w:rPr>
                        <w:rStyle w:val="1071"/>
                        <w:sz w:val="16"/>
                      </w:rPr>
                      <w:fldChar w:fldCharType="end"/>
                    </w:r>
                    <w:r>
                      <w:rPr>
                        <w:rStyle w:val="1071"/>
                        <w:sz w:val="16"/>
                      </w:rPr>
                      <w:t xml:space="preserve">/</w:t>
                    </w:r>
                    <w:r>
                      <w:rPr>
                        <w:rStyle w:val="1071"/>
                        <w:sz w:val="16"/>
                      </w:rPr>
                      <w:fldChar w:fldCharType="begin"/>
                    </w:r>
                    <w:r>
                      <w:rPr>
                        <w:rStyle w:val="1071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1071"/>
                        <w:sz w:val="16"/>
                      </w:rPr>
                      <w:fldChar w:fldCharType="separate"/>
                    </w:r>
                    <w:r>
                      <w:rPr>
                        <w:rStyle w:val="1071"/>
                        <w:sz w:val="16"/>
                      </w:rPr>
                      <w:t xml:space="preserve">4</w:t>
                    </w:r>
                    <w:r>
                      <w:rPr>
                        <w:rStyle w:val="1071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  <w:p w14:paraId="2F671398" w14:textId="77777777" w:rsidR="0071753F" w:rsidRDefault="00000000">
    <w:pPr>
      <w:pStyle w:val="Zpat"/>
      <w:spacing w:before="240" w:after="0"/>
      <w:rPr>
        <w:szCs w:val="16"/>
      </w:rPr>
    </w:pPr>
    <w:r>
      <w:rPr>
        <w:b/>
        <w:szCs w:val="16"/>
      </w:rPr>
      <w:t>Státní fond životního prostředí ČR</w:t>
    </w:r>
    <w:r>
      <w:rPr>
        <w:szCs w:val="16"/>
      </w:rPr>
      <w:t>, sídlo: Kaplanova 1931/1, 148 00 Praha 11</w:t>
    </w:r>
  </w:p>
  <w:p w14:paraId="20676D16" w14:textId="77777777" w:rsidR="0071753F" w:rsidRDefault="00000000">
    <w:pPr>
      <w:pStyle w:val="Zpat"/>
      <w:spacing w:after="0"/>
      <w:rPr>
        <w:szCs w:val="16"/>
      </w:rPr>
    </w:pPr>
    <w:r>
      <w:rPr>
        <w:szCs w:val="16"/>
      </w:rPr>
      <w:t>korespondenční a kontaktní adresa: Olbrachtova 2006/9, 140 00  Praha 4, T: +420 267 994 300; IČ: 00020729</w:t>
    </w:r>
  </w:p>
  <w:p w14:paraId="3AD0A7AE" w14:textId="77777777" w:rsidR="0071753F" w:rsidRDefault="00000000">
    <w:pPr>
      <w:pStyle w:val="Zpat"/>
      <w:rPr>
        <w:szCs w:val="16"/>
      </w:rPr>
    </w:pPr>
    <w:r>
      <w:rPr>
        <w:b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D892" w14:textId="77777777" w:rsidR="0071753F" w:rsidRDefault="00000000">
    <w:pPr>
      <w:pStyle w:val="Zpat"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63122" w14:textId="77777777" w:rsidR="0030160A" w:rsidRDefault="0030160A">
      <w:r>
        <w:separator/>
      </w:r>
    </w:p>
  </w:footnote>
  <w:footnote w:type="continuationSeparator" w:id="0">
    <w:p w14:paraId="6B29E698" w14:textId="77777777" w:rsidR="0030160A" w:rsidRDefault="0030160A">
      <w:r>
        <w:continuationSeparator/>
      </w:r>
    </w:p>
  </w:footnote>
  <w:footnote w:id="1">
    <w:p w14:paraId="0D8A1D89" w14:textId="77777777" w:rsidR="0071753F" w:rsidRDefault="00000000">
      <w:pPr>
        <w:rPr>
          <w:rFonts w:cs="Segoe UI"/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="Segoe UI"/>
          <w:sz w:val="16"/>
          <w:szCs w:val="16"/>
        </w:rPr>
        <w:t xml:space="preserve">Splnění zde uvedených podmínek může být předmětem kontroly na místě. V případě, že v rámci kontroly ŽoP bude schválen výdaj, který je v rozporu s principem DNSH, neznamená to, že při následném zjištění porušení pravidel DNSH pozbyde toto prohlášení platnosti, jakož i všechny důsledky, které z jeho porušení vyplývají. </w:t>
      </w:r>
    </w:p>
    <w:p w14:paraId="069BCF57" w14:textId="77777777" w:rsidR="0071753F" w:rsidRDefault="0071753F">
      <w:pPr>
        <w:pStyle w:val="Textpoznpodarou"/>
      </w:pPr>
    </w:p>
  </w:footnote>
  <w:footnote w:id="2">
    <w:p w14:paraId="226DE36C" w14:textId="77777777" w:rsidR="0071753F" w:rsidRDefault="00000000">
      <w:pPr>
        <w:pStyle w:val="Textpoznpodarou"/>
      </w:pPr>
      <w:r>
        <w:rPr>
          <w:rStyle w:val="Znakapoznpodarou"/>
        </w:rPr>
        <w:footnoteRef/>
      </w:r>
      <w:r>
        <w:t xml:space="preserve">   a dále ve znění vyhlášky č. 110/2022 Sb. o stanovení druhů a parametrů podporovaných obnovitelných zdrojů a kritérií udržitelnosti a úspory emisí skleníkových plynů pro biokapaliny a paliva z biomasy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A76C3" w14:textId="77777777" w:rsidR="0071753F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0587D6A5" wp14:editId="474237DB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D2E7" w14:textId="77777777" w:rsidR="0071753F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5D10AE59" wp14:editId="63FD754E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2F1E"/>
    <w:multiLevelType w:val="multilevel"/>
    <w:tmpl w:val="7A1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AF2174C"/>
    <w:multiLevelType w:val="multilevel"/>
    <w:tmpl w:val="08608586"/>
    <w:lvl w:ilvl="0">
      <w:start w:val="1"/>
      <w:numFmt w:val="bullet"/>
      <w:pStyle w:val="Odrka2odsazen"/>
      <w:lvlText w:val="–"/>
      <w:lvlJc w:val="left"/>
      <w:pPr>
        <w:ind w:left="717" w:hanging="360"/>
      </w:pPr>
      <w:rPr>
        <w:rFonts w:ascii="Segoe UI" w:eastAsiaTheme="minorHAns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4679"/>
    <w:multiLevelType w:val="multilevel"/>
    <w:tmpl w:val="C65A1166"/>
    <w:lvl w:ilvl="0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5F717A"/>
    <w:multiLevelType w:val="multilevel"/>
    <w:tmpl w:val="26F00A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BA8"/>
    <w:multiLevelType w:val="multilevel"/>
    <w:tmpl w:val="18AAB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44F5819"/>
    <w:multiLevelType w:val="multilevel"/>
    <w:tmpl w:val="03681A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5A337E5"/>
    <w:multiLevelType w:val="multilevel"/>
    <w:tmpl w:val="FF76EA6E"/>
    <w:lvl w:ilvl="0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27A5E"/>
    <w:multiLevelType w:val="multilevel"/>
    <w:tmpl w:val="629A49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67C59E5"/>
    <w:multiLevelType w:val="multilevel"/>
    <w:tmpl w:val="D338AFB2"/>
    <w:lvl w:ilvl="0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11990"/>
    <w:multiLevelType w:val="multilevel"/>
    <w:tmpl w:val="A24CB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1950CAE"/>
    <w:multiLevelType w:val="multilevel"/>
    <w:tmpl w:val="44CCA240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D85EBF"/>
    <w:multiLevelType w:val="multilevel"/>
    <w:tmpl w:val="1722C5BE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6136765"/>
    <w:multiLevelType w:val="multilevel"/>
    <w:tmpl w:val="BBBA5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color w:val="00529F"/>
        <w:spacing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A3598E"/>
    <w:multiLevelType w:val="multilevel"/>
    <w:tmpl w:val="C6B47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1C631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127D1E"/>
    <w:multiLevelType w:val="multilevel"/>
    <w:tmpl w:val="98EE6F60"/>
    <w:lvl w:ilvl="0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E193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F71DCB"/>
    <w:multiLevelType w:val="multilevel"/>
    <w:tmpl w:val="68841B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F608D"/>
    <w:multiLevelType w:val="multilevel"/>
    <w:tmpl w:val="8A349904"/>
    <w:lvl w:ilvl="0">
      <w:start w:val="1"/>
      <w:numFmt w:val="lowerLetter"/>
      <w:pStyle w:val="abcodraen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4D4334F"/>
    <w:multiLevelType w:val="multilevel"/>
    <w:tmpl w:val="1722ED02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71420C5"/>
    <w:multiLevelType w:val="multilevel"/>
    <w:tmpl w:val="A456F442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1" w15:restartNumberingAfterBreak="0">
    <w:nsid w:val="4AB24E17"/>
    <w:multiLevelType w:val="multilevel"/>
    <w:tmpl w:val="15768F92"/>
    <w:lvl w:ilvl="0">
      <w:start w:val="1"/>
      <w:numFmt w:val="bullet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73AAB"/>
    <w:multiLevelType w:val="multilevel"/>
    <w:tmpl w:val="0164BCE6"/>
    <w:lvl w:ilvl="0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8087A"/>
    <w:multiLevelType w:val="multilevel"/>
    <w:tmpl w:val="DD1E7CC8"/>
    <w:lvl w:ilvl="0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C7D56"/>
    <w:multiLevelType w:val="multilevel"/>
    <w:tmpl w:val="412A7D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F6066"/>
    <w:multiLevelType w:val="multilevel"/>
    <w:tmpl w:val="C682E224"/>
    <w:styleLink w:val="Stylslovnvlevo"/>
    <w:lvl w:ilvl="0">
      <w:start w:val="1"/>
      <w:numFmt w:val="lowerLetter"/>
      <w:pStyle w:val="Stylslovnvlevo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13A8F"/>
    <w:multiLevelType w:val="multilevel"/>
    <w:tmpl w:val="8EBEB1A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C96641"/>
    <w:multiLevelType w:val="multilevel"/>
    <w:tmpl w:val="52CA9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AD8311C"/>
    <w:multiLevelType w:val="multilevel"/>
    <w:tmpl w:val="8A485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0801E6E"/>
    <w:multiLevelType w:val="multilevel"/>
    <w:tmpl w:val="3D9CE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45F442D"/>
    <w:multiLevelType w:val="multilevel"/>
    <w:tmpl w:val="82AC79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670A4"/>
    <w:multiLevelType w:val="multilevel"/>
    <w:tmpl w:val="2F1EF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7513867"/>
    <w:multiLevelType w:val="multilevel"/>
    <w:tmpl w:val="F7AC2400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3" w15:restartNumberingAfterBreak="0">
    <w:nsid w:val="78B6410A"/>
    <w:multiLevelType w:val="multilevel"/>
    <w:tmpl w:val="CCEE7CB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8C73915"/>
    <w:multiLevelType w:val="multilevel"/>
    <w:tmpl w:val="42448546"/>
    <w:lvl w:ilvl="0">
      <w:start w:val="1"/>
      <w:numFmt w:val="bullet"/>
      <w:lvlText w:val="–"/>
      <w:lvlJc w:val="left"/>
      <w:pPr>
        <w:ind w:left="1211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F10C1"/>
    <w:multiLevelType w:val="multilevel"/>
    <w:tmpl w:val="C0D67A8E"/>
    <w:styleLink w:val="StylslovnVlevo0"/>
    <w:lvl w:ilvl="0">
      <w:start w:val="1"/>
      <w:numFmt w:val="lowerLetter"/>
      <w:pStyle w:val="StylslovnVlevo0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36740"/>
    <w:multiLevelType w:val="multilevel"/>
    <w:tmpl w:val="9A8A492C"/>
    <w:lvl w:ilvl="0">
      <w:start w:val="1"/>
      <w:numFmt w:val="bullet"/>
      <w:pStyle w:val="odrka2"/>
      <w:lvlText w:val="–"/>
      <w:lvlJc w:val="left"/>
      <w:pPr>
        <w:ind w:left="1040" w:hanging="360"/>
      </w:pPr>
      <w:rPr>
        <w:rFonts w:ascii="Segoe UI" w:eastAsiaTheme="minorHAns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32E7F"/>
    <w:multiLevelType w:val="multilevel"/>
    <w:tmpl w:val="FF8AF19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080A83"/>
    <w:multiLevelType w:val="multilevel"/>
    <w:tmpl w:val="CF22DEA8"/>
    <w:lvl w:ilvl="0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D741DE8"/>
    <w:multiLevelType w:val="multilevel"/>
    <w:tmpl w:val="20D4CFF0"/>
    <w:lvl w:ilvl="0">
      <w:start w:val="1"/>
      <w:numFmt w:val="lowerLetter"/>
      <w:pStyle w:val="abc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D97CA2"/>
    <w:multiLevelType w:val="multilevel"/>
    <w:tmpl w:val="6BBA42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63812">
    <w:abstractNumId w:val="37"/>
  </w:num>
  <w:num w:numId="2" w16cid:durableId="1680740647">
    <w:abstractNumId w:val="34"/>
  </w:num>
  <w:num w:numId="3" w16cid:durableId="686755020">
    <w:abstractNumId w:val="32"/>
  </w:num>
  <w:num w:numId="4" w16cid:durableId="177156623">
    <w:abstractNumId w:val="2"/>
  </w:num>
  <w:num w:numId="5" w16cid:durableId="404373655">
    <w:abstractNumId w:val="21"/>
  </w:num>
  <w:num w:numId="6" w16cid:durableId="1449540714">
    <w:abstractNumId w:val="11"/>
  </w:num>
  <w:num w:numId="7" w16cid:durableId="1489439864">
    <w:abstractNumId w:val="25"/>
  </w:num>
  <w:num w:numId="8" w16cid:durableId="1804226710">
    <w:abstractNumId w:val="35"/>
  </w:num>
  <w:num w:numId="9" w16cid:durableId="630287778">
    <w:abstractNumId w:val="6"/>
  </w:num>
  <w:num w:numId="10" w16cid:durableId="763572716">
    <w:abstractNumId w:val="29"/>
  </w:num>
  <w:num w:numId="11" w16cid:durableId="1773086530">
    <w:abstractNumId w:val="9"/>
  </w:num>
  <w:num w:numId="12" w16cid:durableId="1382554487">
    <w:abstractNumId w:val="13"/>
  </w:num>
  <w:num w:numId="13" w16cid:durableId="1203712684">
    <w:abstractNumId w:val="7"/>
  </w:num>
  <w:num w:numId="14" w16cid:durableId="20321994">
    <w:abstractNumId w:val="28"/>
  </w:num>
  <w:num w:numId="15" w16cid:durableId="1665746073">
    <w:abstractNumId w:val="4"/>
  </w:num>
  <w:num w:numId="16" w16cid:durableId="575438396">
    <w:abstractNumId w:val="31"/>
  </w:num>
  <w:num w:numId="17" w16cid:durableId="1591432316">
    <w:abstractNumId w:val="27"/>
  </w:num>
  <w:num w:numId="18" w16cid:durableId="1490051800">
    <w:abstractNumId w:val="0"/>
  </w:num>
  <w:num w:numId="19" w16cid:durableId="2051998349">
    <w:abstractNumId w:val="5"/>
  </w:num>
  <w:num w:numId="20" w16cid:durableId="1620915405">
    <w:abstractNumId w:val="8"/>
  </w:num>
  <w:num w:numId="21" w16cid:durableId="1928270193">
    <w:abstractNumId w:val="33"/>
  </w:num>
  <w:num w:numId="22" w16cid:durableId="46034080">
    <w:abstractNumId w:val="24"/>
  </w:num>
  <w:num w:numId="23" w16cid:durableId="2081247705">
    <w:abstractNumId w:val="3"/>
  </w:num>
  <w:num w:numId="24" w16cid:durableId="1307202529">
    <w:abstractNumId w:val="26"/>
  </w:num>
  <w:num w:numId="25" w16cid:durableId="1147286386">
    <w:abstractNumId w:val="20"/>
  </w:num>
  <w:num w:numId="26" w16cid:durableId="1989354739">
    <w:abstractNumId w:val="6"/>
    <w:lvlOverride w:ilvl="0">
      <w:startOverride w:val="1"/>
    </w:lvlOverride>
  </w:num>
  <w:num w:numId="27" w16cid:durableId="1636568574">
    <w:abstractNumId w:val="6"/>
    <w:lvlOverride w:ilvl="0">
      <w:startOverride w:val="1"/>
    </w:lvlOverride>
  </w:num>
  <w:num w:numId="28" w16cid:durableId="564416142">
    <w:abstractNumId w:val="6"/>
    <w:lvlOverride w:ilvl="0">
      <w:startOverride w:val="1"/>
    </w:lvlOverride>
  </w:num>
  <w:num w:numId="29" w16cid:durableId="222452189">
    <w:abstractNumId w:val="17"/>
  </w:num>
  <w:num w:numId="30" w16cid:durableId="5482988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1155973">
    <w:abstractNumId w:val="18"/>
  </w:num>
  <w:num w:numId="32" w16cid:durableId="1234973169">
    <w:abstractNumId w:val="6"/>
    <w:lvlOverride w:ilvl="0">
      <w:startOverride w:val="1"/>
    </w:lvlOverride>
  </w:num>
  <w:num w:numId="33" w16cid:durableId="1290210710">
    <w:abstractNumId w:val="14"/>
  </w:num>
  <w:num w:numId="34" w16cid:durableId="737365453">
    <w:abstractNumId w:val="16"/>
  </w:num>
  <w:num w:numId="35" w16cid:durableId="1500736598">
    <w:abstractNumId w:val="12"/>
  </w:num>
  <w:num w:numId="36" w16cid:durableId="302736016">
    <w:abstractNumId w:val="38"/>
  </w:num>
  <w:num w:numId="37" w16cid:durableId="720516918">
    <w:abstractNumId w:val="30"/>
  </w:num>
  <w:num w:numId="38" w16cid:durableId="990864825">
    <w:abstractNumId w:val="39"/>
  </w:num>
  <w:num w:numId="39" w16cid:durableId="6600422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7507710">
    <w:abstractNumId w:val="22"/>
  </w:num>
  <w:num w:numId="41" w16cid:durableId="423110726">
    <w:abstractNumId w:val="36"/>
  </w:num>
  <w:num w:numId="42" w16cid:durableId="1043016804">
    <w:abstractNumId w:val="23"/>
  </w:num>
  <w:num w:numId="43" w16cid:durableId="1776364740">
    <w:abstractNumId w:val="15"/>
  </w:num>
  <w:num w:numId="44" w16cid:durableId="314843534">
    <w:abstractNumId w:val="1"/>
  </w:num>
  <w:num w:numId="45" w16cid:durableId="919677075">
    <w:abstractNumId w:val="39"/>
    <w:lvlOverride w:ilvl="0">
      <w:startOverride w:val="1"/>
    </w:lvlOverride>
  </w:num>
  <w:num w:numId="46" w16cid:durableId="1630041348">
    <w:abstractNumId w:val="10"/>
  </w:num>
  <w:num w:numId="47" w16cid:durableId="593051557">
    <w:abstractNumId w:val="40"/>
  </w:num>
  <w:num w:numId="48" w16cid:durableId="19286600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3F"/>
    <w:rsid w:val="0030160A"/>
    <w:rsid w:val="004432D3"/>
    <w:rsid w:val="0071753F"/>
    <w:rsid w:val="008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B032"/>
  <w15:docId w15:val="{E2BAE50E-C2B6-4190-8E94-D10E066F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64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link w:val="Nadpis1Char"/>
    <w:qFormat/>
    <w:pPr>
      <w:spacing w:before="240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pPr>
      <w:keepNext/>
      <w:pBdr>
        <w:bottom w:val="single" w:sz="4" w:space="1" w:color="00529F"/>
      </w:pBdr>
      <w:spacing w:before="24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Pr>
      <w:b/>
    </w:rPr>
  </w:style>
  <w:style w:type="table" w:styleId="Mkatabulky">
    <w:name w:val="Table Grid"/>
    <w:basedOn w:val="Normlntabulka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pPr>
      <w:jc w:val="left"/>
    </w:pPr>
    <w:rPr>
      <w:b/>
      <w:sz w:val="18"/>
    </w:rPr>
  </w:style>
  <w:style w:type="paragraph" w:customStyle="1" w:styleId="TabNM">
    <w:name w:val="Tab_N_M"/>
    <w:basedOn w:val="TabNL"/>
    <w:pPr>
      <w:jc w:val="center"/>
    </w:pPr>
  </w:style>
  <w:style w:type="paragraph" w:customStyle="1" w:styleId="TabNR">
    <w:name w:val="Tab_N_R"/>
    <w:basedOn w:val="TabNL"/>
    <w:pPr>
      <w:jc w:val="right"/>
    </w:pPr>
  </w:style>
  <w:style w:type="paragraph" w:customStyle="1" w:styleId="TabtextL">
    <w:name w:val="Tab_text_L"/>
    <w:basedOn w:val="Normln"/>
    <w:pPr>
      <w:jc w:val="left"/>
    </w:pPr>
    <w:rPr>
      <w:sz w:val="18"/>
    </w:rPr>
  </w:style>
  <w:style w:type="paragraph" w:customStyle="1" w:styleId="TabtextM">
    <w:name w:val="Tab_text_M"/>
    <w:basedOn w:val="TabtextL"/>
  </w:style>
  <w:style w:type="paragraph" w:customStyle="1" w:styleId="TabtextR">
    <w:name w:val="Tab_text_R"/>
    <w:basedOn w:val="TabtextL"/>
    <w:pPr>
      <w:jc w:val="right"/>
    </w:pPr>
  </w:style>
  <w:style w:type="paragraph" w:customStyle="1" w:styleId="podpiscara1">
    <w:name w:val="podpis_cara_1"/>
    <w:basedOn w:val="Normln"/>
    <w:next w:val="podpis1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pPr>
      <w:tabs>
        <w:tab w:val="left" w:leader="dot" w:pos="3969"/>
      </w:tabs>
    </w:pPr>
  </w:style>
  <w:style w:type="character" w:styleId="slostrnky">
    <w:name w:val="page number"/>
    <w:basedOn w:val="Standardnpsmoodstavce"/>
  </w:style>
  <w:style w:type="paragraph" w:customStyle="1" w:styleId="Nadpis2a">
    <w:name w:val="Nadpis 2a"/>
    <w:basedOn w:val="Nadpis2"/>
    <w:rPr>
      <w:caps/>
    </w:rPr>
  </w:style>
  <w:style w:type="paragraph" w:customStyle="1" w:styleId="Normalniodrazky">
    <w:name w:val="Normalni_odrazky"/>
    <w:basedOn w:val="Normln"/>
    <w:link w:val="NormalniodrazkyChar"/>
    <w:pPr>
      <w:numPr>
        <w:numId w:val="4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pPr>
      <w:keepNext/>
      <w:numPr>
        <w:numId w:val="3"/>
      </w:numPr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pPr>
      <w:keepNext/>
      <w:numPr>
        <w:ilvl w:val="1"/>
        <w:numId w:val="3"/>
      </w:numPr>
      <w:spacing w:before="240"/>
    </w:pPr>
    <w:rPr>
      <w:b/>
    </w:rPr>
  </w:style>
  <w:style w:type="character" w:customStyle="1" w:styleId="Cislovani2Char">
    <w:name w:val="Cislovani 2 Char"/>
    <w:link w:val="Cislovani2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pPr>
      <w:numPr>
        <w:ilvl w:val="2"/>
        <w:numId w:val="3"/>
      </w:num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pPr>
      <w:numPr>
        <w:ilvl w:val="3"/>
        <w:numId w:val="3"/>
      </w:numPr>
      <w:spacing w:before="120"/>
    </w:pPr>
  </w:style>
  <w:style w:type="paragraph" w:styleId="Obsah2">
    <w:name w:val="toc 2"/>
    <w:basedOn w:val="Normln"/>
    <w:next w:val="Normln"/>
    <w:uiPriority w:val="39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uiPriority w:val="39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semiHidden/>
    <w:pPr>
      <w:ind w:left="400"/>
    </w:pPr>
  </w:style>
  <w:style w:type="paragraph" w:customStyle="1" w:styleId="Cislovaniodrazky">
    <w:name w:val="Cislovani odrazky"/>
    <w:basedOn w:val="Normln"/>
    <w:pPr>
      <w:numPr>
        <w:numId w:val="4"/>
      </w:numPr>
      <w:ind w:left="1208" w:hanging="357"/>
    </w:pPr>
  </w:style>
  <w:style w:type="paragraph" w:styleId="Obsah4">
    <w:name w:val="toc 4"/>
    <w:basedOn w:val="Normln"/>
    <w:next w:val="Normln"/>
    <w:semiHidden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semiHidden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semiHidden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semiHidden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semiHidden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semiHidden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Pr>
      <w:vertAlign w:val="superscript"/>
    </w:rPr>
  </w:style>
  <w:style w:type="paragraph" w:styleId="Normlnodsazen">
    <w:name w:val="Normal Indent"/>
    <w:basedOn w:val="Normln"/>
    <w:link w:val="NormlnodsazenChar"/>
    <w:pPr>
      <w:ind w:left="851"/>
    </w:pPr>
  </w:style>
  <w:style w:type="paragraph" w:customStyle="1" w:styleId="Textnadtabulkou">
    <w:name w:val="Text nad tabulkou"/>
    <w:basedOn w:val="Normln"/>
    <w:qFormat/>
    <w:rPr>
      <w:b/>
    </w:rPr>
  </w:style>
  <w:style w:type="paragraph" w:styleId="Textvysvtlivek">
    <w:name w:val="endnote text"/>
    <w:basedOn w:val="Normln"/>
    <w:link w:val="TextvysvtlivekChar"/>
  </w:style>
  <w:style w:type="character" w:customStyle="1" w:styleId="TextvysvtlivekChar">
    <w:name w:val="Text vysvětlivek Char"/>
    <w:link w:val="Textvysvtlivek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pPr>
      <w:spacing w:before="120"/>
    </w:pPr>
  </w:style>
  <w:style w:type="paragraph" w:customStyle="1" w:styleId="abcodraen">
    <w:name w:val="abc odražení"/>
    <w:basedOn w:val="Normalniodrazky"/>
    <w:qFormat/>
    <w:pPr>
      <w:numPr>
        <w:numId w:val="31"/>
      </w:numPr>
      <w:ind w:left="1066" w:hanging="357"/>
    </w:pPr>
  </w:style>
  <w:style w:type="numbering" w:customStyle="1" w:styleId="Stylslovnvlevo">
    <w:name w:val="Styl Číslování vlevo"/>
    <w:basedOn w:val="Bezseznamu"/>
    <w:pPr>
      <w:numPr>
        <w:numId w:val="7"/>
      </w:numPr>
    </w:pPr>
  </w:style>
  <w:style w:type="numbering" w:customStyle="1" w:styleId="StylslovnVlevo0">
    <w:name w:val="Styl Číslování Vlevo"/>
    <w:basedOn w:val="Bezseznamu"/>
    <w:pPr>
      <w:numPr>
        <w:numId w:val="8"/>
      </w:numPr>
    </w:pPr>
  </w:style>
  <w:style w:type="paragraph" w:customStyle="1" w:styleId="Normalnicslovnabc">
    <w:name w:val="Normalni_císlování_abc"/>
    <w:basedOn w:val="Normln"/>
    <w:qFormat/>
    <w:pPr>
      <w:numPr>
        <w:numId w:val="9"/>
      </w:numPr>
      <w:ind w:left="357" w:hanging="357"/>
    </w:pPr>
  </w:style>
  <w:style w:type="paragraph" w:customStyle="1" w:styleId="Hlavninadpis">
    <w:name w:val="Hlavni_nadpis"/>
    <w:basedOn w:val="Normln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clear" w:pos="567"/>
        <w:tab w:val="left" w:pos="709"/>
      </w:tabs>
      <w:spacing w:after="240"/>
      <w:ind w:left="709" w:hanging="709"/>
    </w:pPr>
    <w:rPr>
      <w:rFonts w:cs="Segoe UI"/>
      <w:color w:val="3E1F65"/>
    </w:rPr>
  </w:style>
  <w:style w:type="paragraph" w:customStyle="1" w:styleId="Poditul11">
    <w:name w:val="Poditul 1.1"/>
    <w:basedOn w:val="Cislovani2"/>
    <w:link w:val="Poditul11Char"/>
    <w:qFormat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1Char">
    <w:name w:val="Cislovani 1 Char"/>
    <w:link w:val="Cislovani1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_1.1 Char"/>
    <w:link w:val="Podtitul11"/>
    <w:rPr>
      <w:rFonts w:ascii="Segoe UI" w:hAnsi="Segoe UI" w:cs="Segoe UI"/>
      <w:b/>
      <w:caps/>
      <w:color w:val="3E1F65"/>
      <w:sz w:val="24"/>
    </w:rPr>
  </w:style>
  <w:style w:type="paragraph" w:customStyle="1" w:styleId="Podtitul111">
    <w:name w:val="Podtitul_1.1.1"/>
    <w:basedOn w:val="Cislovani3"/>
    <w:link w:val="Podtitul111Char"/>
    <w:qFormat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hAnsi="Segoe UI" w:cs="Segoe UI"/>
      <w:b/>
    </w:rPr>
  </w:style>
  <w:style w:type="paragraph" w:customStyle="1" w:styleId="Podtitul1111">
    <w:name w:val="Podtitul_1.1.1.1"/>
    <w:basedOn w:val="Cislovani4"/>
    <w:link w:val="Podtitul1111Char"/>
    <w:qFormat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3Char">
    <w:name w:val="Cislovani 3 Char"/>
    <w:link w:val="Cislovani3"/>
    <w:rPr>
      <w:rFonts w:ascii="JohnSans Text Pro" w:hAnsi="JohnSans Text Pro"/>
      <w:b/>
      <w:szCs w:val="24"/>
    </w:rPr>
  </w:style>
  <w:style w:type="character" w:customStyle="1" w:styleId="Podtitul111Char">
    <w:name w:val="Podtitul_1.1.1 Char"/>
    <w:link w:val="Podtitul111"/>
    <w:rPr>
      <w:rFonts w:ascii="Segoe UI" w:hAnsi="Segoe UI" w:cs="Segoe UI"/>
      <w:b/>
    </w:rPr>
  </w:style>
  <w:style w:type="paragraph" w:customStyle="1" w:styleId="Podtitul11111">
    <w:name w:val="Podtitul 1.1.1.1.1"/>
    <w:basedOn w:val="Cislovani5"/>
    <w:link w:val="Podtitul11111Char"/>
    <w:rPr>
      <w:rFonts w:cs="Segoe UI"/>
    </w:rPr>
  </w:style>
  <w:style w:type="character" w:customStyle="1" w:styleId="Cislovani4Char">
    <w:name w:val="Cislovani 4 Char"/>
    <w:link w:val="Cislovani4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Pr>
      <w:rFonts w:ascii="Segoe UI" w:hAnsi="Segoe UI" w:cs="Segoe UI"/>
    </w:rPr>
  </w:style>
  <w:style w:type="paragraph" w:customStyle="1" w:styleId="textzarovnnvlevobezodsazen">
    <w:name w:val="text_zarovnání vlevo_bez odsazení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pPr>
      <w:spacing w:after="360"/>
      <w:jc w:val="left"/>
    </w:pPr>
    <w:rPr>
      <w:color w:val="00529F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pPr>
      <w:ind w:left="709"/>
    </w:pPr>
    <w:rPr>
      <w:rFonts w:cs="Segoe UI"/>
    </w:rPr>
  </w:style>
  <w:style w:type="character" w:customStyle="1" w:styleId="Nadpis1Char">
    <w:name w:val="Nadpis 1 Char"/>
    <w:link w:val="Nadpis1"/>
    <w:rPr>
      <w:rFonts w:ascii="Segoe UI" w:hAnsi="Segoe UI"/>
      <w:b/>
      <w:caps/>
    </w:rPr>
  </w:style>
  <w:style w:type="character" w:customStyle="1" w:styleId="NormlnodsazenChar">
    <w:name w:val="Normální odsazený Char"/>
    <w:link w:val="Normlnodsazen"/>
    <w:rPr>
      <w:rFonts w:ascii="Segoe UI" w:hAnsi="Segoe UI"/>
    </w:rPr>
  </w:style>
  <w:style w:type="character" w:customStyle="1" w:styleId="TextodsazenChar">
    <w:name w:val="Text_odsazení Char"/>
    <w:link w:val="Textodsazen"/>
    <w:rPr>
      <w:rFonts w:ascii="Segoe UI" w:hAnsi="Segoe UI" w:cs="Segoe UI"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customStyle="1" w:styleId="abc">
    <w:name w:val="a) b) c)"/>
    <w:basedOn w:val="Odstavecseseznamem"/>
    <w:link w:val="abcChar"/>
    <w:qFormat/>
    <w:pPr>
      <w:numPr>
        <w:numId w:val="38"/>
      </w:numPr>
    </w:pPr>
    <w:rPr>
      <w:rFonts w:eastAsia="Calibri"/>
      <w:szCs w:val="22"/>
      <w:lang w:eastAsia="en-US"/>
    </w:rPr>
  </w:style>
  <w:style w:type="paragraph" w:customStyle="1" w:styleId="TITULEKVZVY">
    <w:name w:val="TITULEK VÝZVY"/>
    <w:basedOn w:val="Normln"/>
    <w:link w:val="TITULEKVZVYChar"/>
    <w:qFormat/>
    <w:pPr>
      <w:spacing w:after="360"/>
      <w:contextualSpacing/>
      <w:jc w:val="left"/>
    </w:pPr>
    <w:rPr>
      <w:rFonts w:eastAsia="Calibri"/>
      <w:caps/>
      <w:color w:val="3E1F65"/>
      <w:sz w:val="36"/>
      <w:szCs w:val="28"/>
      <w:lang w:eastAsia="en-US"/>
    </w:rPr>
  </w:style>
  <w:style w:type="paragraph" w:customStyle="1" w:styleId="vodnodstavec">
    <w:name w:val="Úvodní odstavec"/>
    <w:basedOn w:val="Normln"/>
    <w:link w:val="vodnodstavecChar"/>
    <w:qFormat/>
    <w:pPr>
      <w:spacing w:after="240"/>
      <w:jc w:val="left"/>
    </w:pPr>
    <w:rPr>
      <w:rFonts w:eastAsia="Calibri"/>
      <w:b/>
      <w:szCs w:val="22"/>
      <w:lang w:eastAsia="en-US"/>
    </w:rPr>
  </w:style>
  <w:style w:type="character" w:customStyle="1" w:styleId="TITULEKVZVYChar">
    <w:name w:val="TITULEK VÝZVY Char"/>
    <w:link w:val="TITULEKVZVY"/>
    <w:rPr>
      <w:rFonts w:ascii="Segoe UI" w:eastAsia="Calibri" w:hAnsi="Segoe UI"/>
      <w:caps/>
      <w:color w:val="3E1F65"/>
      <w:sz w:val="36"/>
      <w:szCs w:val="28"/>
      <w:lang w:eastAsia="en-US"/>
    </w:rPr>
  </w:style>
  <w:style w:type="character" w:customStyle="1" w:styleId="vodnodstavecChar">
    <w:name w:val="Úvodní odstavec Char"/>
    <w:link w:val="vodnodstavec"/>
    <w:rPr>
      <w:rFonts w:ascii="Segoe UI" w:eastAsia="Calibri" w:hAnsi="Segoe UI"/>
      <w:b/>
      <w:szCs w:val="22"/>
      <w:lang w:eastAsia="en-US"/>
    </w:rPr>
  </w:style>
  <w:style w:type="table" w:customStyle="1" w:styleId="ModFond">
    <w:name w:val="ModFond"/>
    <w:basedOn w:val="Normlntabulka"/>
    <w:uiPriority w:val="99"/>
    <w:rPr>
      <w:rFonts w:ascii="Segoe UI" w:eastAsia="Calibri" w:hAnsi="Segoe UI"/>
      <w:sz w:val="1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/>
        <w:color w:val="FFFFFF"/>
        <w:sz w:val="20"/>
      </w:rPr>
      <w:tblPr/>
      <w:tcPr>
        <w:shd w:val="clear" w:color="auto" w:fill="00529F"/>
      </w:tcPr>
    </w:tblStyle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character" w:customStyle="1" w:styleId="ZpatChar">
    <w:name w:val="Zápatí Char"/>
    <w:link w:val="Zpat"/>
    <w:uiPriority w:val="99"/>
    <w:rPr>
      <w:rFonts w:ascii="Segoe UI" w:hAnsi="Segoe UI"/>
      <w:sz w:val="16"/>
    </w:rPr>
  </w:style>
  <w:style w:type="paragraph" w:styleId="Bezmezer">
    <w:name w:val="No Spacing"/>
    <w:link w:val="BezmezerChar"/>
    <w:uiPriority w:val="1"/>
    <w:rPr>
      <w:rFonts w:ascii="Calibri" w:hAnsi="Calibri"/>
      <w:sz w:val="22"/>
      <w:szCs w:val="22"/>
    </w:rPr>
  </w:style>
  <w:style w:type="paragraph" w:customStyle="1" w:styleId="Obrysovkruh31">
    <w:name w:val="Obrysový kruh 31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Pr>
      <w:rFonts w:ascii="Calibri" w:hAnsi="Calibri"/>
      <w:sz w:val="22"/>
      <w:szCs w:val="22"/>
    </w:rPr>
  </w:style>
  <w:style w:type="paragraph" w:customStyle="1" w:styleId="HEADLINE">
    <w:name w:val="HEADLINE"/>
    <w:link w:val="HEADLINEChar"/>
    <w:qFormat/>
    <w:pPr>
      <w:pBdr>
        <w:top w:val="single" w:sz="8" w:space="1" w:color="00529F"/>
        <w:bottom w:val="single" w:sz="8" w:space="1" w:color="00529F"/>
      </w:pBdr>
      <w:spacing w:before="2040" w:after="200" w:line="276" w:lineRule="auto"/>
    </w:pPr>
    <w:rPr>
      <w:rFonts w:ascii="Segoe UI" w:eastAsia="Calibri" w:hAnsi="Segoe UI"/>
      <w:caps/>
      <w:color w:val="3E1F65"/>
      <w:sz w:val="56"/>
      <w:szCs w:val="56"/>
      <w:lang w:eastAsia="en-US"/>
    </w:rPr>
  </w:style>
  <w:style w:type="character" w:customStyle="1" w:styleId="HEADLINEChar">
    <w:name w:val="HEADLINE Char"/>
    <w:link w:val="HEADLINE"/>
    <w:rPr>
      <w:rFonts w:ascii="Segoe UI" w:eastAsia="Calibri" w:hAnsi="Segoe UI"/>
      <w:caps/>
      <w:color w:val="3E1F65"/>
      <w:sz w:val="56"/>
      <w:szCs w:val="56"/>
      <w:lang w:eastAsia="en-US"/>
    </w:rPr>
  </w:style>
  <w:style w:type="character" w:styleId="Nzevknihy">
    <w:name w:val="Book Title"/>
    <w:uiPriority w:val="33"/>
    <w:qFormat/>
    <w:rPr>
      <w:rFonts w:ascii="Segoe UI" w:hAnsi="Segoe UI" w:cs="Segoe UI"/>
      <w:b/>
      <w:sz w:val="20"/>
    </w:rPr>
  </w:style>
  <w:style w:type="character" w:customStyle="1" w:styleId="abcChar">
    <w:name w:val="a) b) c) Char"/>
    <w:link w:val="abc"/>
    <w:rPr>
      <w:rFonts w:ascii="Segoe UI" w:eastAsia="Calibri" w:hAnsi="Segoe UI"/>
      <w:szCs w:val="22"/>
      <w:lang w:eastAsia="en-US"/>
    </w:rPr>
  </w:style>
  <w:style w:type="paragraph" w:customStyle="1" w:styleId="odrka1">
    <w:name w:val="odrážka 1"/>
    <w:basedOn w:val="Odstavecseseznamem"/>
    <w:link w:val="odrka1Char"/>
    <w:qFormat/>
    <w:pPr>
      <w:numPr>
        <w:numId w:val="40"/>
      </w:numPr>
      <w:ind w:left="357" w:hanging="357"/>
    </w:pPr>
    <w:rPr>
      <w:rFonts w:eastAsia="Calibri"/>
      <w:szCs w:val="22"/>
      <w:lang w:eastAsia="en-US"/>
    </w:rPr>
  </w:style>
  <w:style w:type="paragraph" w:customStyle="1" w:styleId="odrka2">
    <w:name w:val="odrážka 2"/>
    <w:basedOn w:val="Odstavecseseznamem"/>
    <w:link w:val="odrka2Char"/>
    <w:qFormat/>
    <w:pPr>
      <w:numPr>
        <w:numId w:val="41"/>
      </w:numPr>
      <w:ind w:left="714" w:hanging="357"/>
    </w:pPr>
    <w:rPr>
      <w:rFonts w:eastAsia="Calibri" w:cs="Segoe UI"/>
    </w:rPr>
  </w:style>
  <w:style w:type="character" w:customStyle="1" w:styleId="odrka1Char">
    <w:name w:val="odrážka 1 Char"/>
    <w:link w:val="odrka1"/>
    <w:rPr>
      <w:rFonts w:ascii="Segoe UI" w:eastAsia="Calibri" w:hAnsi="Segoe UI"/>
      <w:szCs w:val="22"/>
      <w:lang w:eastAsia="en-US"/>
    </w:rPr>
  </w:style>
  <w:style w:type="character" w:customStyle="1" w:styleId="odrka2Char">
    <w:name w:val="odrážka 2 Char"/>
    <w:link w:val="odrka2"/>
    <w:rPr>
      <w:rFonts w:ascii="Segoe UI" w:eastAsia="Calibri" w:hAnsi="Segoe UI" w:cs="Segoe UI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lang w:eastAsia="en-US"/>
    </w:rPr>
  </w:style>
  <w:style w:type="paragraph" w:customStyle="1" w:styleId="odrka1odsazen">
    <w:name w:val="odrážka 1 odsazení"/>
    <w:basedOn w:val="Normalniodrazky"/>
    <w:link w:val="odrka1odsazenChar"/>
    <w:qFormat/>
    <w:pPr>
      <w:numPr>
        <w:numId w:val="43"/>
      </w:numPr>
      <w:ind w:left="1066" w:hanging="357"/>
    </w:pPr>
    <w:rPr>
      <w:rFonts w:cs="Segoe UI"/>
    </w:rPr>
  </w:style>
  <w:style w:type="paragraph" w:customStyle="1" w:styleId="Odrka2odsazen">
    <w:name w:val="Odrážka 2 odsazení"/>
    <w:basedOn w:val="odrka1"/>
    <w:link w:val="Odrka2odsazenChar"/>
    <w:qFormat/>
    <w:pPr>
      <w:numPr>
        <w:numId w:val="44"/>
      </w:numPr>
      <w:ind w:left="1434" w:hanging="357"/>
    </w:pPr>
  </w:style>
  <w:style w:type="character" w:customStyle="1" w:styleId="NormalniodrazkyChar">
    <w:name w:val="Normalni_odrazky Char"/>
    <w:basedOn w:val="Standardnpsmoodstavce"/>
    <w:link w:val="Normalniodrazky"/>
    <w:rPr>
      <w:rFonts w:ascii="Segoe UI" w:hAnsi="Segoe UI" w:cs="JohnSans Text Pro"/>
    </w:rPr>
  </w:style>
  <w:style w:type="character" w:customStyle="1" w:styleId="odrka1odsazenChar">
    <w:name w:val="odrážka 1 odsazení Char"/>
    <w:basedOn w:val="NormalniodrazkyChar"/>
    <w:link w:val="odrka1odsazen"/>
    <w:rPr>
      <w:rFonts w:ascii="Segoe UI" w:hAnsi="Segoe UI" w:cs="Segoe UI"/>
    </w:rPr>
  </w:style>
  <w:style w:type="character" w:styleId="Hypertextovodkaz">
    <w:name w:val="Hyperlink"/>
    <w:basedOn w:val="Standardnpsmoodstavce"/>
    <w:rPr>
      <w:color w:val="0563C1" w:themeColor="hyperlink"/>
      <w:u w:val="single"/>
    </w:rPr>
  </w:style>
  <w:style w:type="character" w:customStyle="1" w:styleId="Odrka2odsazenChar">
    <w:name w:val="Odrážka 2 odsazení Char"/>
    <w:basedOn w:val="odrka1Char"/>
    <w:link w:val="Odrka2odsazen"/>
    <w:rPr>
      <w:rFonts w:ascii="Segoe UI" w:eastAsia="Calibri" w:hAnsi="Segoe UI"/>
      <w:szCs w:val="22"/>
      <w:lang w:eastAsia="en-US"/>
    </w:rPr>
  </w:style>
  <w:style w:type="paragraph" w:styleId="Textbubliny">
    <w:name w:val="Balloon Text"/>
    <w:basedOn w:val="Normln"/>
    <w:link w:val="TextbublinyChar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Pr>
      <w:rFonts w:ascii="Segoe UI" w:hAnsi="Segoe UI" w:cs="Segoe UI"/>
      <w:sz w:val="18"/>
      <w:szCs w:val="18"/>
    </w:rPr>
  </w:style>
  <w:style w:type="character" w:styleId="Odkaznavysvtlivky">
    <w:name w:val="endnote reference"/>
    <w:basedOn w:val="Standardnpsmoodstavce"/>
    <w:rPr>
      <w:vertAlign w:val="superscript"/>
    </w:rPr>
  </w:style>
  <w:style w:type="paragraph" w:customStyle="1" w:styleId="Poznmkapodarou">
    <w:name w:val="Poznámka pod čarou"/>
    <w:basedOn w:val="Textvysvtlivek"/>
    <w:link w:val="PoznmkapodarouChar"/>
    <w:pPr>
      <w:ind w:firstLine="357"/>
    </w:pPr>
  </w:style>
  <w:style w:type="paragraph" w:customStyle="1" w:styleId="Poznmkapodarou1">
    <w:name w:val="Poznámka pod čarou_1"/>
    <w:basedOn w:val="Textpoznpodarou"/>
    <w:link w:val="Poznmkapodarou1Char"/>
    <w:qFormat/>
  </w:style>
  <w:style w:type="character" w:customStyle="1" w:styleId="PoznmkapodarouChar">
    <w:name w:val="Poznámka pod čarou Char"/>
    <w:basedOn w:val="TextvysvtlivekChar"/>
    <w:link w:val="Poznmkapodarou"/>
    <w:rPr>
      <w:rFonts w:ascii="Segoe UI" w:hAnsi="Segoe UI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Segoe UI" w:hAnsi="Segoe UI"/>
      <w:sz w:val="16"/>
    </w:rPr>
  </w:style>
  <w:style w:type="character" w:customStyle="1" w:styleId="Poznmkapodarou1Char">
    <w:name w:val="Poznámka pod čarou_1 Char"/>
    <w:basedOn w:val="TextpoznpodarouChar"/>
    <w:link w:val="Poznmkapodarou1"/>
    <w:rPr>
      <w:rFonts w:ascii="Segoe UI" w:hAnsi="Segoe UI"/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hAnsi="Segoe UI"/>
    </w:rPr>
  </w:style>
  <w:style w:type="character" w:customStyle="1" w:styleId="docdata">
    <w:name w:val="docdata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2347</Characters>
  <Application>Microsoft Office Word</Application>
  <DocSecurity>0</DocSecurity>
  <Lines>19</Lines>
  <Paragraphs>5</Paragraphs>
  <ScaleCrop>false</ScaleCrop>
  <Company>SFZP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subject/>
  <dc:creator>Kysilková Alexandra</dc:creator>
  <cp:keywords/>
  <cp:lastModifiedBy>Veronika Skoupá</cp:lastModifiedBy>
  <cp:revision>14</cp:revision>
  <dcterms:created xsi:type="dcterms:W3CDTF">2023-01-09T09:50:00Z</dcterms:created>
  <dcterms:modified xsi:type="dcterms:W3CDTF">2024-08-14T07:07:00Z</dcterms:modified>
</cp:coreProperties>
</file>